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E64B" w14:textId="6C16F81C" w:rsidR="00A610D2" w:rsidRDefault="00050999">
      <w:pPr>
        <w:pStyle w:val="BodyText"/>
        <w:spacing w:before="68"/>
        <w:ind w:left="2" w:right="75"/>
        <w:jc w:val="center"/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73ECB203" wp14:editId="6D14CCC1">
            <wp:simplePos x="0" y="0"/>
            <wp:positionH relativeFrom="column">
              <wp:posOffset>5774690</wp:posOffset>
            </wp:positionH>
            <wp:positionV relativeFrom="paragraph">
              <wp:posOffset>-266477</wp:posOffset>
            </wp:positionV>
            <wp:extent cx="851786" cy="864000"/>
            <wp:effectExtent l="0" t="0" r="5715" b="0"/>
            <wp:wrapNone/>
            <wp:docPr id="1221071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2210715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6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075">
        <w:rPr>
          <w:noProof/>
        </w:rPr>
        <w:drawing>
          <wp:anchor distT="0" distB="0" distL="0" distR="0" simplePos="0" relativeHeight="251656192" behindDoc="0" locked="0" layoutInCell="1" allowOverlap="1" wp14:anchorId="2503E690" wp14:editId="65D70D47">
            <wp:simplePos x="0" y="0"/>
            <wp:positionH relativeFrom="page">
              <wp:posOffset>563271</wp:posOffset>
            </wp:positionH>
            <wp:positionV relativeFrom="paragraph">
              <wp:posOffset>71957</wp:posOffset>
            </wp:positionV>
            <wp:extent cx="592395" cy="558520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95" cy="5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075">
        <w:t>Checklist</w:t>
      </w:r>
      <w:r w:rsidR="00A15075">
        <w:rPr>
          <w:spacing w:val="-7"/>
        </w:rPr>
        <w:t xml:space="preserve"> </w:t>
      </w:r>
      <w:r w:rsidR="00A15075">
        <w:t>for</w:t>
      </w:r>
      <w:r w:rsidR="00A15075">
        <w:rPr>
          <w:spacing w:val="-6"/>
        </w:rPr>
        <w:t xml:space="preserve"> </w:t>
      </w:r>
      <w:r w:rsidR="00A15075">
        <w:t>Therapeutic</w:t>
      </w:r>
      <w:r w:rsidR="00A15075">
        <w:rPr>
          <w:spacing w:val="-9"/>
        </w:rPr>
        <w:t xml:space="preserve"> </w:t>
      </w:r>
      <w:r w:rsidR="00A15075">
        <w:t>Use</w:t>
      </w:r>
      <w:r w:rsidR="00A15075">
        <w:rPr>
          <w:spacing w:val="-6"/>
        </w:rPr>
        <w:t xml:space="preserve"> </w:t>
      </w:r>
      <w:r w:rsidR="00A15075">
        <w:t>Exemption</w:t>
      </w:r>
      <w:r w:rsidR="00A15075">
        <w:rPr>
          <w:spacing w:val="-9"/>
        </w:rPr>
        <w:t xml:space="preserve"> </w:t>
      </w:r>
      <w:r w:rsidR="00A15075">
        <w:t>(TUE)</w:t>
      </w:r>
      <w:r w:rsidR="00A15075">
        <w:rPr>
          <w:spacing w:val="-7"/>
        </w:rPr>
        <w:t xml:space="preserve"> </w:t>
      </w:r>
      <w:r w:rsidR="00A15075">
        <w:rPr>
          <w:spacing w:val="-2"/>
        </w:rPr>
        <w:t>Application</w:t>
      </w:r>
    </w:p>
    <w:p w14:paraId="2503E64C" w14:textId="0589D365" w:rsidR="00A610D2" w:rsidRDefault="00A610D2">
      <w:pPr>
        <w:pStyle w:val="Title"/>
      </w:pPr>
    </w:p>
    <w:p w14:paraId="2503E64D" w14:textId="50A88584" w:rsidR="00A610D2" w:rsidRDefault="00A15075">
      <w:pPr>
        <w:spacing w:before="119"/>
        <w:ind w:left="4" w:right="75"/>
        <w:jc w:val="center"/>
        <w:rPr>
          <w:i/>
        </w:rPr>
      </w:pPr>
      <w:r>
        <w:rPr>
          <w:i/>
        </w:rPr>
        <w:t>Prohibited</w:t>
      </w:r>
      <w:r>
        <w:rPr>
          <w:i/>
          <w:spacing w:val="-11"/>
        </w:rPr>
        <w:t xml:space="preserve"> </w:t>
      </w:r>
      <w:r>
        <w:rPr>
          <w:i/>
        </w:rPr>
        <w:t>Substances:</w:t>
      </w:r>
      <w:r>
        <w:rPr>
          <w:i/>
          <w:spacing w:val="-12"/>
        </w:rPr>
        <w:t xml:space="preserve"> </w:t>
      </w:r>
      <w:r>
        <w:rPr>
          <w:i/>
        </w:rPr>
        <w:t>Methylphenidate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amphetamine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derivatives</w:t>
      </w:r>
    </w:p>
    <w:p w14:paraId="2503E64E" w14:textId="77777777" w:rsidR="00A610D2" w:rsidRDefault="00A15075">
      <w:pPr>
        <w:pStyle w:val="BodyText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03E694" wp14:editId="2503E695">
                <wp:simplePos x="0" y="0"/>
                <wp:positionH relativeFrom="page">
                  <wp:posOffset>536575</wp:posOffset>
                </wp:positionH>
                <wp:positionV relativeFrom="paragraph">
                  <wp:posOffset>110530</wp:posOffset>
                </wp:positionV>
                <wp:extent cx="65119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1925">
                              <a:moveTo>
                                <a:pt x="0" y="0"/>
                              </a:moveTo>
                              <a:lnTo>
                                <a:pt x="651192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9698" id="Graphic 3" o:spid="_x0000_s1026" style="position:absolute;margin-left:42.25pt;margin-top:8.7pt;width:51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1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" path="m,l6511925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03E64F" w14:textId="410A95BD" w:rsidR="00A610D2" w:rsidRDefault="00A15075">
      <w:pPr>
        <w:pStyle w:val="BodyText"/>
        <w:spacing w:before="128"/>
        <w:ind w:left="133" w:right="207" w:firstLine="26"/>
        <w:jc w:val="both"/>
      </w:pPr>
      <w:r>
        <w:t>This</w:t>
      </w:r>
      <w:r>
        <w:rPr>
          <w:spacing w:val="-6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guide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athlete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physician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TUE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 allow the TUE Committee to assess whether the relevan</w:t>
      </w:r>
      <w:r w:rsidR="00882ACE">
        <w:t xml:space="preserve">t </w:t>
      </w:r>
      <w:hyperlink r:id="rId10" w:history="1">
        <w:r w:rsidR="00882ACE" w:rsidRPr="002D0861">
          <w:rPr>
            <w:rStyle w:val="Hyperlink"/>
          </w:rPr>
          <w:t>International Standard for Therapeutic Exemptions (ISTUE)</w:t>
        </w:r>
      </w:hyperlink>
      <w:r w:rsidR="00882ACE">
        <w:t xml:space="preserve"> </w:t>
      </w:r>
      <w:r>
        <w:t>Criteria are met.</w:t>
      </w:r>
    </w:p>
    <w:p w14:paraId="2503E650" w14:textId="77777777" w:rsidR="00A610D2" w:rsidRDefault="00A15075">
      <w:pPr>
        <w:spacing w:before="124"/>
        <w:ind w:left="133" w:right="201" w:firstLine="26"/>
        <w:jc w:val="both"/>
      </w:pP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TUE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 alone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sufficient; supporting</w:t>
      </w:r>
      <w:r>
        <w:rPr>
          <w:spacing w:val="-2"/>
        </w:rPr>
        <w:t xml:space="preserve"> </w:t>
      </w:r>
      <w:r>
        <w:t xml:space="preserve">documents </w:t>
      </w:r>
      <w:r>
        <w:rPr>
          <w:u w:val="single"/>
        </w:rPr>
        <w:t>MUST</w:t>
      </w:r>
      <w:r>
        <w:t xml:space="preserve"> be</w:t>
      </w:r>
      <w:r>
        <w:rPr>
          <w:spacing w:val="-8"/>
        </w:rPr>
        <w:t xml:space="preserve"> </w:t>
      </w:r>
      <w:r>
        <w:t>provided.</w:t>
      </w:r>
      <w:r>
        <w:rPr>
          <w:spacing w:val="-8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completed</w:t>
      </w:r>
      <w:r>
        <w:rPr>
          <w:i/>
          <w:spacing w:val="-7"/>
        </w:rPr>
        <w:t xml:space="preserve"> </w:t>
      </w:r>
      <w:r>
        <w:rPr>
          <w:i/>
        </w:rPr>
        <w:t>application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checklist</w:t>
      </w:r>
      <w:r>
        <w:rPr>
          <w:i/>
          <w:spacing w:val="-6"/>
        </w:rPr>
        <w:t xml:space="preserve"> </w:t>
      </w:r>
      <w:r>
        <w:rPr>
          <w:i/>
        </w:rPr>
        <w:t>DO</w:t>
      </w:r>
      <w:r>
        <w:rPr>
          <w:i/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7"/>
        </w:rPr>
        <w:t xml:space="preserve"> </w:t>
      </w:r>
      <w:r>
        <w:rPr>
          <w:i/>
        </w:rPr>
        <w:t>guarantee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granting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TUE.</w:t>
      </w:r>
      <w:r>
        <w:rPr>
          <w:i/>
          <w:spacing w:val="-6"/>
        </w:rPr>
        <w:t xml:space="preserve"> </w:t>
      </w:r>
      <w:r>
        <w:t>Conversely, in some situations a legitimate application may not include every element on the checklist.</w:t>
      </w:r>
    </w:p>
    <w:p w14:paraId="2C3787CC" w14:textId="77777777" w:rsidR="00A15075" w:rsidRDefault="00A15075">
      <w:pPr>
        <w:spacing w:before="124"/>
        <w:ind w:left="133" w:right="201" w:firstLine="26"/>
        <w:jc w:val="both"/>
      </w:pPr>
    </w:p>
    <w:p w14:paraId="2503E651" w14:textId="77777777" w:rsidR="00A610D2" w:rsidRDefault="00A610D2">
      <w:pPr>
        <w:pStyle w:val="BodyText"/>
        <w:spacing w:before="10" w:after="1"/>
        <w:rPr>
          <w:sz w:val="13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631"/>
        <w:gridCol w:w="9001"/>
      </w:tblGrid>
      <w:tr w:rsidR="00A610D2" w14:paraId="2503E654" w14:textId="77777777">
        <w:trPr>
          <w:trHeight w:val="510"/>
        </w:trPr>
        <w:sdt>
          <w:sdtPr>
            <w:rPr>
              <w:rFonts w:ascii="MS Gothic" w:hAnsi="MS Gothic"/>
              <w:sz w:val="20"/>
            </w:rPr>
            <w:id w:val="7363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25B116"/>
              </w:tcPr>
              <w:p w14:paraId="2503E652" w14:textId="4BF2438B" w:rsidR="00A610D2" w:rsidRDefault="00C67C76">
                <w:pPr>
                  <w:pStyle w:val="TableParagraph"/>
                  <w:spacing w:before="153"/>
                  <w:ind w:left="6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2" w:type="dxa"/>
            <w:gridSpan w:val="2"/>
            <w:shd w:val="clear" w:color="auto" w:fill="25B116"/>
          </w:tcPr>
          <w:p w14:paraId="2503E653" w14:textId="77777777" w:rsidR="00A610D2" w:rsidRDefault="00A15075">
            <w:pPr>
              <w:pStyle w:val="TableParagraph"/>
              <w:spacing w:before="120"/>
              <w:ind w:left="108"/>
            </w:pPr>
            <w:r>
              <w:rPr>
                <w:b/>
              </w:rPr>
              <w:t>TUE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2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include:</w:t>
            </w:r>
          </w:p>
        </w:tc>
      </w:tr>
      <w:tr w:rsidR="00A610D2" w14:paraId="2503E658" w14:textId="77777777">
        <w:trPr>
          <w:trHeight w:val="542"/>
        </w:trPr>
        <w:tc>
          <w:tcPr>
            <w:tcW w:w="720" w:type="dxa"/>
          </w:tcPr>
          <w:p w14:paraId="2503E655" w14:textId="77777777" w:rsidR="00A610D2" w:rsidRDefault="00A610D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205311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503E656" w14:textId="403D4E2F" w:rsidR="00A610D2" w:rsidRDefault="004B6B98">
                <w:pPr>
                  <w:pStyle w:val="TableParagraph"/>
                  <w:spacing w:before="155"/>
                  <w:ind w:right="6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1" w:type="dxa"/>
          </w:tcPr>
          <w:p w14:paraId="2503E657" w14:textId="77777777" w:rsidR="00A610D2" w:rsidRDefault="00A15075">
            <w:pPr>
              <w:pStyle w:val="TableParagraph"/>
              <w:spacing w:before="185"/>
              <w:ind w:left="108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sections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legible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handwriting</w:t>
            </w:r>
          </w:p>
        </w:tc>
      </w:tr>
      <w:tr w:rsidR="00A610D2" w14:paraId="2503E65C" w14:textId="77777777">
        <w:trPr>
          <w:trHeight w:val="532"/>
        </w:trPr>
        <w:tc>
          <w:tcPr>
            <w:tcW w:w="720" w:type="dxa"/>
          </w:tcPr>
          <w:p w14:paraId="2503E659" w14:textId="77777777" w:rsidR="00A610D2" w:rsidRDefault="00A610D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103372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503E65A" w14:textId="1AC44714" w:rsidR="00A610D2" w:rsidRDefault="004B6B98">
                <w:pPr>
                  <w:pStyle w:val="TableParagraph"/>
                  <w:spacing w:before="150"/>
                  <w:ind w:right="6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1" w:type="dxa"/>
          </w:tcPr>
          <w:p w14:paraId="2503E65B" w14:textId="590EF38D" w:rsidR="00A610D2" w:rsidRDefault="00761181">
            <w:pPr>
              <w:pStyle w:val="TableParagraph"/>
              <w:spacing w:before="177"/>
              <w:ind w:left="108"/>
            </w:pPr>
            <w:r w:rsidRPr="00761181">
              <w:t>All information submitted in English as per Sport Integrity Commission’s requirements</w:t>
            </w:r>
          </w:p>
        </w:tc>
      </w:tr>
      <w:tr w:rsidR="00A610D2" w14:paraId="2503E660" w14:textId="77777777">
        <w:trPr>
          <w:trHeight w:val="539"/>
        </w:trPr>
        <w:tc>
          <w:tcPr>
            <w:tcW w:w="720" w:type="dxa"/>
          </w:tcPr>
          <w:p w14:paraId="2503E65D" w14:textId="77777777" w:rsidR="00A610D2" w:rsidRDefault="00A610D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128218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503E65E" w14:textId="275B57CF" w:rsidR="00A610D2" w:rsidRDefault="004B6B98">
                <w:pPr>
                  <w:pStyle w:val="TableParagraph"/>
                  <w:spacing w:before="155"/>
                  <w:ind w:right="6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1" w:type="dxa"/>
          </w:tcPr>
          <w:p w14:paraId="2503E65F" w14:textId="77777777" w:rsidR="00A610D2" w:rsidRDefault="00A15075">
            <w:pPr>
              <w:pStyle w:val="TableParagraph"/>
              <w:spacing w:before="182"/>
              <w:ind w:left="96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A610D2" w14:paraId="2503E664" w14:textId="77777777">
        <w:trPr>
          <w:trHeight w:val="532"/>
        </w:trPr>
        <w:tc>
          <w:tcPr>
            <w:tcW w:w="720" w:type="dxa"/>
          </w:tcPr>
          <w:p w14:paraId="2503E661" w14:textId="77777777" w:rsidR="00A610D2" w:rsidRDefault="00A610D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39871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503E662" w14:textId="07FC5E18" w:rsidR="00A610D2" w:rsidRDefault="004B6B98">
                <w:pPr>
                  <w:pStyle w:val="TableParagraph"/>
                  <w:spacing w:before="152"/>
                  <w:ind w:right="6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1" w:type="dxa"/>
          </w:tcPr>
          <w:p w14:paraId="2503E663" w14:textId="77777777" w:rsidR="00A610D2" w:rsidRDefault="00A15075">
            <w:pPr>
              <w:pStyle w:val="TableParagraph"/>
              <w:spacing w:before="177"/>
              <w:ind w:left="96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Athlete’s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</w:tr>
      <w:tr w:rsidR="00A610D2" w14:paraId="2503E667" w14:textId="77777777">
        <w:trPr>
          <w:trHeight w:val="458"/>
        </w:trPr>
        <w:sdt>
          <w:sdtPr>
            <w:rPr>
              <w:rFonts w:ascii="MS Gothic" w:hAnsi="MS Gothic"/>
              <w:sz w:val="20"/>
            </w:rPr>
            <w:id w:val="10324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25B116"/>
              </w:tcPr>
              <w:p w14:paraId="2503E665" w14:textId="05BB00BD" w:rsidR="00A610D2" w:rsidRDefault="00C67C76">
                <w:pPr>
                  <w:pStyle w:val="TableParagraph"/>
                  <w:spacing w:before="127"/>
                  <w:ind w:left="6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2" w:type="dxa"/>
            <w:gridSpan w:val="2"/>
            <w:shd w:val="clear" w:color="auto" w:fill="25B116"/>
          </w:tcPr>
          <w:p w14:paraId="2503E666" w14:textId="77777777" w:rsidR="00A610D2" w:rsidRDefault="00A15075">
            <w:pPr>
              <w:pStyle w:val="TableParagraph"/>
              <w:spacing w:before="120"/>
              <w:ind w:left="108"/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</w:tr>
      <w:tr w:rsidR="00A610D2" w14:paraId="2503E66B" w14:textId="77777777">
        <w:trPr>
          <w:trHeight w:val="647"/>
        </w:trPr>
        <w:tc>
          <w:tcPr>
            <w:tcW w:w="720" w:type="dxa"/>
          </w:tcPr>
          <w:p w14:paraId="2503E668" w14:textId="77777777" w:rsidR="00A610D2" w:rsidRDefault="00A610D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122988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503E669" w14:textId="6FDFBF3E" w:rsidR="00A610D2" w:rsidRDefault="004B6B98">
                <w:pPr>
                  <w:pStyle w:val="TableParagraph"/>
                  <w:spacing w:before="210"/>
                  <w:ind w:right="6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1" w:type="dxa"/>
          </w:tcPr>
          <w:p w14:paraId="2503E66A" w14:textId="77777777" w:rsidR="00A610D2" w:rsidRDefault="00A15075">
            <w:pPr>
              <w:pStyle w:val="TableParagraph"/>
              <w:spacing w:before="112"/>
              <w:ind w:left="108"/>
            </w:pPr>
            <w:r>
              <w:t>Medical</w:t>
            </w:r>
            <w:r>
              <w:rPr>
                <w:spacing w:val="-13"/>
              </w:rPr>
              <w:t xml:space="preserve"> </w:t>
            </w:r>
            <w:r>
              <w:t>history:</w:t>
            </w:r>
            <w:r>
              <w:rPr>
                <w:spacing w:val="-11"/>
              </w:rPr>
              <w:t xml:space="preserve"> </w:t>
            </w:r>
            <w:r>
              <w:t>age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4"/>
              </w:rPr>
              <w:t xml:space="preserve"> </w:t>
            </w:r>
            <w:r>
              <w:t>onset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ADHD</w:t>
            </w:r>
            <w:r>
              <w:rPr>
                <w:spacing w:val="-13"/>
              </w:rPr>
              <w:t xml:space="preserve"> </w:t>
            </w:r>
            <w:r>
              <w:t>symptoms,</w:t>
            </w:r>
            <w:r>
              <w:rPr>
                <w:spacing w:val="-13"/>
              </w:rPr>
              <w:t xml:space="preserve"> </w:t>
            </w:r>
            <w:r>
              <w:t>age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initial</w:t>
            </w:r>
            <w:r>
              <w:rPr>
                <w:spacing w:val="-13"/>
              </w:rPr>
              <w:t xml:space="preserve"> </w:t>
            </w:r>
            <w:r>
              <w:t>diagnosis,</w:t>
            </w:r>
            <w:r>
              <w:rPr>
                <w:spacing w:val="-11"/>
              </w:rPr>
              <w:t xml:space="preserve"> </w:t>
            </w:r>
            <w:r>
              <w:t>symptoms</w:t>
            </w:r>
            <w:r>
              <w:rPr>
                <w:spacing w:val="-12"/>
              </w:rPr>
              <w:t xml:space="preserve"> </w:t>
            </w:r>
            <w:r>
              <w:t>across more than one setting, trial of non-prohibited interventions (if used)</w:t>
            </w:r>
          </w:p>
        </w:tc>
      </w:tr>
      <w:tr w:rsidR="00A610D2" w14:paraId="2503E670" w14:textId="77777777">
        <w:trPr>
          <w:trHeight w:val="991"/>
        </w:trPr>
        <w:tc>
          <w:tcPr>
            <w:tcW w:w="720" w:type="dxa"/>
          </w:tcPr>
          <w:p w14:paraId="2503E66C" w14:textId="77777777" w:rsidR="00A610D2" w:rsidRDefault="00A61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2503E66D" w14:textId="77777777" w:rsidR="00A610D2" w:rsidRDefault="00A610D2">
            <w:pPr>
              <w:pStyle w:val="TableParagraph"/>
              <w:spacing w:before="127"/>
            </w:pPr>
          </w:p>
          <w:sdt>
            <w:sdtPr>
              <w:rPr>
                <w:rFonts w:ascii="MS Gothic" w:hAnsi="MS Gothic"/>
              </w:rPr>
              <w:id w:val="-866678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3E66E" w14:textId="17BCE73F" w:rsidR="00A610D2" w:rsidRDefault="004B6B98">
                <w:pPr>
                  <w:pStyle w:val="TableParagraph"/>
                  <w:spacing w:before="1"/>
                  <w:ind w:right="6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1" w:type="dxa"/>
          </w:tcPr>
          <w:p w14:paraId="51936083" w14:textId="77777777" w:rsidR="002B3183" w:rsidRDefault="00A15075">
            <w:pPr>
              <w:pStyle w:val="TableParagraph"/>
              <w:spacing w:before="117"/>
              <w:ind w:left="96" w:right="73"/>
              <w:jc w:val="both"/>
              <w:rPr>
                <w:spacing w:val="-15"/>
              </w:rPr>
            </w:pPr>
            <w:r>
              <w:t>Summary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diagnostic</w:t>
            </w:r>
            <w:r>
              <w:rPr>
                <w:spacing w:val="-8"/>
              </w:rPr>
              <w:t xml:space="preserve"> </w:t>
            </w:r>
            <w:r>
              <w:t>interviews,</w:t>
            </w:r>
            <w:r>
              <w:rPr>
                <w:spacing w:val="-9"/>
              </w:rPr>
              <w:t xml:space="preserve"> </w:t>
            </w:r>
            <w:r>
              <w:t>questionnaires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rating</w:t>
            </w:r>
            <w:r>
              <w:rPr>
                <w:spacing w:val="-9"/>
              </w:rPr>
              <w:t xml:space="preserve"> </w:t>
            </w:r>
            <w:r>
              <w:t>scales</w:t>
            </w:r>
            <w:r>
              <w:rPr>
                <w:spacing w:val="-11"/>
              </w:rPr>
              <w:t xml:space="preserve"> </w:t>
            </w:r>
            <w:r>
              <w:t>used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interpretation in</w:t>
            </w:r>
            <w:r>
              <w:rPr>
                <w:spacing w:val="-16"/>
              </w:rPr>
              <w:t xml:space="preserve"> </w:t>
            </w:r>
            <w:r>
              <w:t>relation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diagnosis.</w:t>
            </w:r>
            <w:r>
              <w:rPr>
                <w:spacing w:val="-15"/>
              </w:rPr>
              <w:t xml:space="preserve"> </w:t>
            </w:r>
            <w:r>
              <w:t>Copies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relevant</w:t>
            </w:r>
            <w:r>
              <w:rPr>
                <w:spacing w:val="-16"/>
              </w:rPr>
              <w:t xml:space="preserve"> </w:t>
            </w:r>
            <w:r>
              <w:t>sections</w:t>
            </w:r>
            <w:r>
              <w:rPr>
                <w:spacing w:val="-15"/>
              </w:rPr>
              <w:t xml:space="preserve"> </w:t>
            </w:r>
            <w:r>
              <w:t>should</w:t>
            </w:r>
            <w:r>
              <w:rPr>
                <w:spacing w:val="-15"/>
              </w:rPr>
              <w:t xml:space="preserve"> </w:t>
            </w:r>
            <w:r>
              <w:t>ideally</w:t>
            </w:r>
            <w:r>
              <w:rPr>
                <w:spacing w:val="-16"/>
              </w:rPr>
              <w:t xml:space="preserve">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t>included.</w:t>
            </w:r>
            <w:r>
              <w:rPr>
                <w:spacing w:val="-15"/>
              </w:rPr>
              <w:t xml:space="preserve"> </w:t>
            </w:r>
          </w:p>
          <w:p w14:paraId="2503E66F" w14:textId="246F0158" w:rsidR="00A610D2" w:rsidRDefault="00A15075">
            <w:pPr>
              <w:pStyle w:val="TableParagraph"/>
              <w:spacing w:before="117"/>
              <w:ind w:left="96" w:right="73"/>
              <w:jc w:val="both"/>
            </w:pPr>
            <w:r>
              <w:t>Examples include but are not limited to ACDS, CAADID, Barley, DIVA, Conners, K-SADs, SNAP</w:t>
            </w:r>
          </w:p>
        </w:tc>
      </w:tr>
      <w:tr w:rsidR="00A610D2" w14:paraId="2503E675" w14:textId="77777777">
        <w:trPr>
          <w:trHeight w:val="890"/>
        </w:trPr>
        <w:tc>
          <w:tcPr>
            <w:tcW w:w="720" w:type="dxa"/>
          </w:tcPr>
          <w:p w14:paraId="2503E671" w14:textId="77777777" w:rsidR="00A610D2" w:rsidRDefault="00A61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2503E672" w14:textId="77777777" w:rsidR="00A610D2" w:rsidRDefault="00A610D2">
            <w:pPr>
              <w:pStyle w:val="TableParagraph"/>
              <w:spacing w:before="77"/>
            </w:pPr>
          </w:p>
          <w:sdt>
            <w:sdtPr>
              <w:rPr>
                <w:rFonts w:ascii="MS Gothic" w:hAnsi="MS Gothic"/>
              </w:rPr>
              <w:id w:val="1769045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3E673" w14:textId="6FB95220" w:rsidR="00A610D2" w:rsidRDefault="004B6B98">
                <w:pPr>
                  <w:pStyle w:val="TableParagraph"/>
                  <w:ind w:right="6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1" w:type="dxa"/>
          </w:tcPr>
          <w:p w14:paraId="2503E674" w14:textId="08F62B59" w:rsidR="00A610D2" w:rsidRDefault="00A15075">
            <w:pPr>
              <w:pStyle w:val="TableParagraph"/>
              <w:spacing w:before="91"/>
              <w:ind w:left="96" w:right="73"/>
              <w:jc w:val="both"/>
            </w:pPr>
            <w:r>
              <w:t>The report should be provided by a physician (</w:t>
            </w:r>
            <w:proofErr w:type="spellStart"/>
            <w:r w:rsidR="00761181">
              <w:t>paediatrician</w:t>
            </w:r>
            <w:proofErr w:type="spellEnd"/>
            <w:r>
              <w:t xml:space="preserve">, psychiatrist or </w:t>
            </w:r>
            <w:proofErr w:type="gramStart"/>
            <w:r>
              <w:t>other</w:t>
            </w:r>
            <w:proofErr w:type="gramEnd"/>
            <w:r>
              <w:t xml:space="preserve"> physician specializing in ADHD) or a clinical psychologist. A psychologist assessment must be accompanied by a report from the diagnosing/prescribing physician.</w:t>
            </w:r>
          </w:p>
        </w:tc>
      </w:tr>
      <w:tr w:rsidR="00A610D2" w14:paraId="2503E67A" w14:textId="77777777">
        <w:trPr>
          <w:trHeight w:val="702"/>
        </w:trPr>
        <w:tc>
          <w:tcPr>
            <w:tcW w:w="720" w:type="dxa"/>
          </w:tcPr>
          <w:p w14:paraId="2503E676" w14:textId="77777777" w:rsidR="00A610D2" w:rsidRDefault="00A610D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-132018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503E677" w14:textId="2038892F" w:rsidR="00A610D2" w:rsidRDefault="004B6B98">
                <w:pPr>
                  <w:pStyle w:val="TableParagraph"/>
                  <w:spacing w:before="236"/>
                  <w:ind w:right="6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1" w:type="dxa"/>
          </w:tcPr>
          <w:p w14:paraId="2503E678" w14:textId="77777777" w:rsidR="00A610D2" w:rsidRDefault="00A610D2">
            <w:pPr>
              <w:pStyle w:val="TableParagraph"/>
              <w:spacing w:before="13"/>
            </w:pPr>
          </w:p>
          <w:p w14:paraId="2503E679" w14:textId="77777777" w:rsidR="00A610D2" w:rsidRDefault="00A15075">
            <w:pPr>
              <w:pStyle w:val="TableParagraph"/>
              <w:ind w:left="96"/>
            </w:pPr>
            <w:r>
              <w:t>Diagnosis,</w:t>
            </w:r>
            <w:r>
              <w:rPr>
                <w:spacing w:val="-4"/>
              </w:rPr>
              <w:t xml:space="preserve"> </w:t>
            </w:r>
            <w:r>
              <w:t>referring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ICD-11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DSM-</w:t>
            </w:r>
            <w:r>
              <w:rPr>
                <w:spacing w:val="-10"/>
              </w:rPr>
              <w:t>5</w:t>
            </w:r>
          </w:p>
        </w:tc>
      </w:tr>
      <w:tr w:rsidR="00A610D2" w14:paraId="2503E67E" w14:textId="77777777">
        <w:trPr>
          <w:trHeight w:val="659"/>
        </w:trPr>
        <w:tc>
          <w:tcPr>
            <w:tcW w:w="720" w:type="dxa"/>
          </w:tcPr>
          <w:p w14:paraId="2503E67B" w14:textId="77777777" w:rsidR="00A610D2" w:rsidRDefault="00A610D2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</w:rPr>
            <w:id w:val="22056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503E67C" w14:textId="717569A2" w:rsidR="00A610D2" w:rsidRDefault="004B6B98">
                <w:pPr>
                  <w:pStyle w:val="TableParagraph"/>
                  <w:spacing w:before="215"/>
                  <w:ind w:right="6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1" w:type="dxa"/>
          </w:tcPr>
          <w:p w14:paraId="2503E67D" w14:textId="77777777" w:rsidR="00A610D2" w:rsidRDefault="00A15075">
            <w:pPr>
              <w:pStyle w:val="TableParagraph"/>
              <w:spacing w:before="115"/>
              <w:ind w:left="96"/>
            </w:pPr>
            <w:r>
              <w:t>Stimulant</w:t>
            </w:r>
            <w:r>
              <w:rPr>
                <w:spacing w:val="40"/>
              </w:rPr>
              <w:t xml:space="preserve"> </w:t>
            </w:r>
            <w:r>
              <w:t>prescribed</w:t>
            </w:r>
            <w:r>
              <w:rPr>
                <w:spacing w:val="40"/>
              </w:rPr>
              <w:t xml:space="preserve"> </w:t>
            </w:r>
            <w:r>
              <w:t>(methylphenidate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amphetamine</w:t>
            </w:r>
            <w:r>
              <w:rPr>
                <w:spacing w:val="40"/>
              </w:rPr>
              <w:t xml:space="preserve"> </w:t>
            </w:r>
            <w:r>
              <w:t>are</w:t>
            </w:r>
            <w:r>
              <w:rPr>
                <w:spacing w:val="40"/>
              </w:rPr>
              <w:t xml:space="preserve"> </w:t>
            </w:r>
            <w:r>
              <w:t>prohibited</w:t>
            </w:r>
            <w:r>
              <w:rPr>
                <w:spacing w:val="40"/>
              </w:rPr>
              <w:t xml:space="preserve"> </w:t>
            </w:r>
            <w:r>
              <w:t>in-competition) including dosage, frequency, administration route</w:t>
            </w:r>
          </w:p>
        </w:tc>
      </w:tr>
      <w:tr w:rsidR="00A610D2" w14:paraId="2503E681" w14:textId="77777777">
        <w:trPr>
          <w:trHeight w:val="539"/>
        </w:trPr>
        <w:sdt>
          <w:sdtPr>
            <w:rPr>
              <w:rFonts w:ascii="MS Gothic" w:hAnsi="MS Gothic"/>
              <w:sz w:val="20"/>
            </w:rPr>
            <w:id w:val="54217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25B116"/>
              </w:tcPr>
              <w:p w14:paraId="2503E67F" w14:textId="5772E054" w:rsidR="00A610D2" w:rsidRDefault="00C67C76">
                <w:pPr>
                  <w:pStyle w:val="TableParagraph"/>
                  <w:spacing w:before="168"/>
                  <w:ind w:left="6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632" w:type="dxa"/>
            <w:gridSpan w:val="2"/>
            <w:shd w:val="clear" w:color="auto" w:fill="25B116"/>
          </w:tcPr>
          <w:p w14:paraId="2503E680" w14:textId="77777777" w:rsidR="00A610D2" w:rsidRDefault="00A15075">
            <w:pPr>
              <w:pStyle w:val="TableParagraph"/>
              <w:spacing w:before="122"/>
              <w:ind w:left="125"/>
            </w:pPr>
            <w:r>
              <w:rPr>
                <w:b/>
              </w:rPr>
              <w:t>Additional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necessary)</w:t>
            </w:r>
          </w:p>
        </w:tc>
      </w:tr>
      <w:tr w:rsidR="00A610D2" w14:paraId="2503E687" w14:textId="77777777">
        <w:trPr>
          <w:trHeight w:val="1060"/>
        </w:trPr>
        <w:tc>
          <w:tcPr>
            <w:tcW w:w="720" w:type="dxa"/>
          </w:tcPr>
          <w:p w14:paraId="2503E682" w14:textId="77777777" w:rsidR="00A610D2" w:rsidRDefault="00A61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2503E683" w14:textId="77777777" w:rsidR="00A610D2" w:rsidRDefault="00A610D2">
            <w:pPr>
              <w:pStyle w:val="TableParagraph"/>
              <w:spacing w:before="161"/>
            </w:pPr>
          </w:p>
          <w:sdt>
            <w:sdtPr>
              <w:rPr>
                <w:rFonts w:ascii="MS Gothic" w:hAnsi="MS Gothic"/>
              </w:rPr>
              <w:id w:val="-259462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3E684" w14:textId="42A5BDA8" w:rsidR="00A610D2" w:rsidRDefault="004B6B98">
                <w:pPr>
                  <w:pStyle w:val="TableParagraph"/>
                  <w:ind w:right="6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001" w:type="dxa"/>
          </w:tcPr>
          <w:p w14:paraId="2503E685" w14:textId="77777777" w:rsidR="00A610D2" w:rsidRDefault="00A15075">
            <w:pPr>
              <w:pStyle w:val="TableParagraph"/>
              <w:spacing w:before="195"/>
              <w:ind w:left="62"/>
            </w:pPr>
            <w:r>
              <w:t>Supplementary</w:t>
            </w:r>
            <w:r>
              <w:rPr>
                <w:spacing w:val="-14"/>
              </w:rPr>
              <w:t xml:space="preserve"> </w:t>
            </w:r>
            <w:r>
              <w:t>reports</w:t>
            </w:r>
            <w:r>
              <w:rPr>
                <w:spacing w:val="-14"/>
              </w:rPr>
              <w:t xml:space="preserve"> </w:t>
            </w:r>
            <w:r>
              <w:t>which</w:t>
            </w:r>
            <w:r>
              <w:rPr>
                <w:spacing w:val="-12"/>
              </w:rPr>
              <w:t xml:space="preserve"> </w:t>
            </w:r>
            <w:r>
              <w:t>support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diagnosis:</w:t>
            </w:r>
            <w:r>
              <w:rPr>
                <w:spacing w:val="-11"/>
              </w:rPr>
              <w:t xml:space="preserve"> </w:t>
            </w:r>
            <w:r>
              <w:t>e.g.,</w:t>
            </w:r>
            <w:r>
              <w:rPr>
                <w:spacing w:val="-11"/>
              </w:rPr>
              <w:t xml:space="preserve"> </w:t>
            </w:r>
            <w:r>
              <w:t>reports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psychologists,</w:t>
            </w:r>
            <w:r>
              <w:rPr>
                <w:spacing w:val="-11"/>
              </w:rPr>
              <w:t xml:space="preserve"> </w:t>
            </w:r>
            <w:proofErr w:type="gramStart"/>
            <w:r>
              <w:t>school teachers</w:t>
            </w:r>
            <w:proofErr w:type="gramEnd"/>
            <w:r>
              <w:t>, parent/guardian (not mandatory)</w:t>
            </w:r>
          </w:p>
          <w:p w14:paraId="2503E686" w14:textId="77777777" w:rsidR="00A610D2" w:rsidRDefault="00A15075">
            <w:pPr>
              <w:pStyle w:val="TableParagraph"/>
              <w:ind w:left="67"/>
            </w:pPr>
            <w:r>
              <w:t>Second</w:t>
            </w:r>
            <w:r>
              <w:rPr>
                <w:spacing w:val="-6"/>
              </w:rPr>
              <w:t xml:space="preserve"> </w:t>
            </w:r>
            <w:r>
              <w:t>opinion</w:t>
            </w:r>
            <w:r>
              <w:rPr>
                <w:spacing w:val="-5"/>
              </w:rPr>
              <w:t xml:space="preserve"> </w:t>
            </w:r>
            <w:r>
              <w:t>(only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required)</w:t>
            </w:r>
          </w:p>
        </w:tc>
      </w:tr>
    </w:tbl>
    <w:p w14:paraId="2503E688" w14:textId="77777777" w:rsidR="00A610D2" w:rsidRDefault="00A610D2">
      <w:pPr>
        <w:pStyle w:val="BodyText"/>
      </w:pPr>
    </w:p>
    <w:p w14:paraId="2503E689" w14:textId="77777777" w:rsidR="00A610D2" w:rsidRDefault="00A610D2">
      <w:pPr>
        <w:pStyle w:val="BodyText"/>
      </w:pPr>
    </w:p>
    <w:p w14:paraId="2503E68A" w14:textId="77777777" w:rsidR="00A610D2" w:rsidRDefault="00A610D2">
      <w:pPr>
        <w:pStyle w:val="BodyText"/>
      </w:pPr>
    </w:p>
    <w:p w14:paraId="2503E68B" w14:textId="77777777" w:rsidR="00A610D2" w:rsidRDefault="00A610D2">
      <w:pPr>
        <w:pStyle w:val="BodyText"/>
      </w:pPr>
    </w:p>
    <w:p w14:paraId="2503E68C" w14:textId="77777777" w:rsidR="00A610D2" w:rsidRDefault="00A610D2">
      <w:pPr>
        <w:pStyle w:val="BodyText"/>
      </w:pPr>
    </w:p>
    <w:p w14:paraId="0EBC64B1" w14:textId="77777777" w:rsidR="00CF7C41" w:rsidRDefault="00A15075" w:rsidP="00CF7C41">
      <w:pPr>
        <w:spacing w:before="1"/>
        <w:jc w:val="both"/>
        <w:rPr>
          <w:spacing w:val="-2"/>
          <w:sz w:val="15"/>
        </w:rPr>
      </w:pPr>
      <w:r>
        <w:rPr>
          <w:sz w:val="15"/>
        </w:rPr>
        <w:t>©</w:t>
      </w:r>
      <w:r>
        <w:rPr>
          <w:spacing w:val="-6"/>
          <w:sz w:val="15"/>
        </w:rPr>
        <w:t xml:space="preserve"> </w:t>
      </w:r>
      <w:r>
        <w:rPr>
          <w:sz w:val="15"/>
        </w:rPr>
        <w:t>WADA</w:t>
      </w:r>
      <w:r>
        <w:rPr>
          <w:spacing w:val="-4"/>
          <w:sz w:val="15"/>
        </w:rPr>
        <w:t xml:space="preserve"> </w:t>
      </w:r>
      <w:r>
        <w:rPr>
          <w:sz w:val="15"/>
        </w:rPr>
        <w:t>-</w:t>
      </w:r>
      <w:r>
        <w:rPr>
          <w:spacing w:val="-6"/>
          <w:sz w:val="15"/>
        </w:rPr>
        <w:t xml:space="preserve"> </w:t>
      </w:r>
      <w:r>
        <w:rPr>
          <w:sz w:val="15"/>
        </w:rPr>
        <w:t>World</w:t>
      </w:r>
      <w:r>
        <w:rPr>
          <w:spacing w:val="-5"/>
          <w:sz w:val="15"/>
        </w:rPr>
        <w:t xml:space="preserve"> </w:t>
      </w:r>
      <w:r>
        <w:rPr>
          <w:sz w:val="15"/>
        </w:rPr>
        <w:t>Anti-Doping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Program</w:t>
      </w:r>
    </w:p>
    <w:p w14:paraId="2503E68F" w14:textId="3398FA05" w:rsidR="00A610D2" w:rsidRDefault="00A15075" w:rsidP="00CF7C41">
      <w:pPr>
        <w:spacing w:before="1"/>
        <w:jc w:val="both"/>
        <w:rPr>
          <w:sz w:val="15"/>
        </w:rPr>
      </w:pPr>
      <w:r>
        <w:rPr>
          <w:sz w:val="15"/>
        </w:rPr>
        <w:t>Checklist</w:t>
      </w:r>
      <w:r>
        <w:rPr>
          <w:spacing w:val="-10"/>
          <w:sz w:val="15"/>
        </w:rPr>
        <w:t xml:space="preserve"> </w:t>
      </w:r>
      <w:r>
        <w:rPr>
          <w:sz w:val="15"/>
        </w:rPr>
        <w:t>for</w:t>
      </w:r>
      <w:r>
        <w:rPr>
          <w:spacing w:val="-6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TUE</w:t>
      </w:r>
      <w:r>
        <w:rPr>
          <w:spacing w:val="-6"/>
          <w:sz w:val="15"/>
        </w:rPr>
        <w:t xml:space="preserve"> </w:t>
      </w:r>
      <w:r>
        <w:rPr>
          <w:sz w:val="15"/>
        </w:rPr>
        <w:t>Application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proofErr w:type="gramStart"/>
      <w:r>
        <w:rPr>
          <w:sz w:val="15"/>
        </w:rPr>
        <w:t>Attention</w:t>
      </w:r>
      <w:r>
        <w:rPr>
          <w:spacing w:val="-6"/>
          <w:sz w:val="15"/>
        </w:rPr>
        <w:t xml:space="preserve"> </w:t>
      </w:r>
      <w:r>
        <w:rPr>
          <w:sz w:val="15"/>
        </w:rPr>
        <w:t>Deficit</w:t>
      </w:r>
      <w:r>
        <w:rPr>
          <w:spacing w:val="-4"/>
          <w:sz w:val="15"/>
        </w:rPr>
        <w:t xml:space="preserve"> </w:t>
      </w:r>
      <w:r>
        <w:rPr>
          <w:sz w:val="15"/>
        </w:rPr>
        <w:t>Hyperactivity</w:t>
      </w:r>
      <w:r>
        <w:rPr>
          <w:spacing w:val="-4"/>
          <w:sz w:val="15"/>
        </w:rPr>
        <w:t xml:space="preserve"> </w:t>
      </w:r>
      <w:r>
        <w:rPr>
          <w:sz w:val="15"/>
        </w:rPr>
        <w:t>Disorder</w:t>
      </w:r>
      <w:proofErr w:type="gramEnd"/>
      <w:r>
        <w:rPr>
          <w:spacing w:val="-8"/>
          <w:sz w:val="15"/>
        </w:rPr>
        <w:t xml:space="preserve"> </w:t>
      </w:r>
      <w:r>
        <w:rPr>
          <w:sz w:val="15"/>
        </w:rPr>
        <w:t>-</w:t>
      </w:r>
      <w:r>
        <w:rPr>
          <w:spacing w:val="-4"/>
          <w:sz w:val="15"/>
        </w:rPr>
        <w:t xml:space="preserve"> </w:t>
      </w:r>
      <w:r>
        <w:rPr>
          <w:sz w:val="15"/>
        </w:rPr>
        <w:t>Version</w:t>
      </w:r>
      <w:r>
        <w:rPr>
          <w:spacing w:val="-6"/>
          <w:sz w:val="15"/>
        </w:rPr>
        <w:t xml:space="preserve"> </w:t>
      </w:r>
      <w:r>
        <w:rPr>
          <w:sz w:val="15"/>
        </w:rPr>
        <w:t>7.1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6"/>
          <w:sz w:val="15"/>
        </w:rPr>
        <w:t xml:space="preserve"> </w:t>
      </w:r>
      <w:r>
        <w:rPr>
          <w:sz w:val="15"/>
        </w:rPr>
        <w:t>October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2023</w:t>
      </w:r>
    </w:p>
    <w:sectPr w:rsidR="00A610D2">
      <w:type w:val="continuous"/>
      <w:pgSz w:w="12240" w:h="15840"/>
      <w:pgMar w:top="1060" w:right="8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0D2"/>
    <w:rsid w:val="00050999"/>
    <w:rsid w:val="0028471C"/>
    <w:rsid w:val="002B3183"/>
    <w:rsid w:val="002D0861"/>
    <w:rsid w:val="004B6B98"/>
    <w:rsid w:val="005168B0"/>
    <w:rsid w:val="00761181"/>
    <w:rsid w:val="00882ACE"/>
    <w:rsid w:val="00A15075"/>
    <w:rsid w:val="00A610D2"/>
    <w:rsid w:val="00B97F5A"/>
    <w:rsid w:val="00BC2E41"/>
    <w:rsid w:val="00C67C76"/>
    <w:rsid w:val="00C86B0B"/>
    <w:rsid w:val="00CF7C41"/>
    <w:rsid w:val="00E74797"/>
    <w:rsid w:val="00F15A4A"/>
    <w:rsid w:val="49732161"/>
    <w:rsid w:val="4B7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3E64B"/>
  <w15:docId w15:val="{2922A087-1311-4505-848B-D48F2FD5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9"/>
      <w:ind w:right="7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D08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wada-ama.org/en/resources/world-anti-doping-code-and-international-standards/international-standard-therapeutic-us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17BAD-63CC-4E30-936B-6FDBBA92D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5D9F98-1DB5-4A91-83FF-E080AEDAA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0FFE1-E169-4131-B62B-998A9A5929BF}">
  <ds:schemaRefs>
    <ds:schemaRef ds:uri="http://schemas.microsoft.com/office/2006/metadata/properties"/>
    <ds:schemaRef ds:uri="http://schemas.microsoft.com/office/infopath/2007/PartnerControls"/>
    <ds:schemaRef ds:uri="9d13e5dc-0f79-49d1-9199-8730e30c263b"/>
    <ds:schemaRef ds:uri="28ed8bd3-af6f-43e5-8d6b-804a9e1a98e0"/>
  </ds:schemaRefs>
</ds:datastoreItem>
</file>

<file path=customXml/itemProps4.xml><?xml version="1.0" encoding="utf-8"?>
<ds:datastoreItem xmlns:ds="http://schemas.openxmlformats.org/officeDocument/2006/customXml" ds:itemID="{4E170484-0D45-42B9-9AFC-5DC22F7D4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2043</Characters>
  <Application>Microsoft Office Word</Application>
  <DocSecurity>0</DocSecurity>
  <Lines>78</Lines>
  <Paragraphs>52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Chinnarassen, Kimberley</dc:creator>
  <cp:lastModifiedBy>Victoria Forster</cp:lastModifiedBy>
  <cp:revision>15</cp:revision>
  <dcterms:created xsi:type="dcterms:W3CDTF">2024-04-16T23:43:00Z</dcterms:created>
  <dcterms:modified xsi:type="dcterms:W3CDTF">2024-10-30T19:20:00Z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e910d8cf921c740dd119e0932eb0e3c149887da08d44c4ce8df0814b13d251e7</vt:lpwstr>
  </property>
  <property fmtid="{D5CDD505-2E9C-101B-9397-08002B2CF9AE}" pid="7" name="ContentTypeId">
    <vt:lpwstr>0x0101007BB40D2551FD534487246D36E692CD22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